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324A4">
      <w:pPr>
        <w:jc w:val="center"/>
        <w:rPr>
          <w:rFonts w:hint="default" w:ascii="Arial" w:hAnsi="Arial" w:cs="Arial"/>
          <w:b/>
          <w:bCs/>
          <w:lang w:val="es-MX"/>
        </w:rPr>
      </w:pPr>
      <w:r>
        <w:rPr>
          <w:rFonts w:hint="default" w:ascii="Arial" w:hAnsi="Arial" w:cs="Arial"/>
          <w:b/>
          <w:bCs/>
          <w:lang w:val="es-MX"/>
        </w:rPr>
        <w:t>CANCÚN SE DIVERSIFICA PARA GENERAR BIENESTAR: ANA PATY PERALTA</w:t>
      </w:r>
    </w:p>
    <w:p w14:paraId="5B6514D8">
      <w:pPr>
        <w:jc w:val="both"/>
        <w:rPr>
          <w:rFonts w:hint="default" w:ascii="Arial" w:hAnsi="Arial" w:cs="Arial"/>
          <w:lang w:val="es-MX"/>
        </w:rPr>
      </w:pPr>
    </w:p>
    <w:p w14:paraId="31BB30C5">
      <w:pPr>
        <w:jc w:val="both"/>
        <w:rPr>
          <w:rFonts w:hint="default" w:ascii="Arial" w:hAnsi="Arial" w:cs="Arial"/>
          <w:lang w:val="es-MX"/>
        </w:rPr>
      </w:pPr>
      <w:r>
        <w:rPr>
          <w:rFonts w:hint="default" w:ascii="Arial" w:hAnsi="Arial" w:cs="Arial"/>
          <w:lang w:val="es-MX"/>
        </w:rPr>
        <w:t>•</w:t>
      </w:r>
      <w:r>
        <w:rPr>
          <w:rFonts w:hint="default" w:ascii="Arial" w:hAnsi="Arial" w:cs="Arial"/>
          <w:lang w:val="es-MX"/>
        </w:rPr>
        <w:tab/>
      </w:r>
      <w:r>
        <w:rPr>
          <w:rFonts w:hint="default" w:ascii="Arial" w:hAnsi="Arial" w:cs="Arial"/>
          <w:lang w:val="es-MX"/>
        </w:rPr>
        <w:t xml:space="preserve">Más de 500 operaciones aéreas diarias </w:t>
      </w:r>
    </w:p>
    <w:p w14:paraId="7E16397E">
      <w:pPr>
        <w:jc w:val="both"/>
        <w:rPr>
          <w:rFonts w:hint="default" w:ascii="Arial" w:hAnsi="Arial" w:cs="Arial"/>
          <w:lang w:val="es-MX"/>
        </w:rPr>
      </w:pPr>
      <w:r>
        <w:rPr>
          <w:rFonts w:hint="default" w:ascii="Arial" w:hAnsi="Arial" w:cs="Arial"/>
          <w:lang w:val="es-MX"/>
        </w:rPr>
        <w:t>•</w:t>
      </w:r>
      <w:r>
        <w:rPr>
          <w:rFonts w:hint="default" w:ascii="Arial" w:hAnsi="Arial" w:cs="Arial"/>
          <w:lang w:val="es-MX"/>
        </w:rPr>
        <w:tab/>
      </w:r>
      <w:r>
        <w:rPr>
          <w:rFonts w:hint="default" w:ascii="Arial" w:hAnsi="Arial" w:cs="Arial"/>
          <w:lang w:val="es-MX"/>
        </w:rPr>
        <w:t xml:space="preserve">Ocupación hotelera superior al 80 por ciento </w:t>
      </w:r>
    </w:p>
    <w:p w14:paraId="4FAC1999">
      <w:pPr>
        <w:jc w:val="both"/>
        <w:rPr>
          <w:rFonts w:hint="default" w:ascii="Arial" w:hAnsi="Arial" w:cs="Arial"/>
          <w:b/>
          <w:bCs/>
          <w:lang w:val="es-MX"/>
        </w:rPr>
      </w:pPr>
    </w:p>
    <w:p w14:paraId="6E6D1760">
      <w:pPr>
        <w:jc w:val="both"/>
        <w:rPr>
          <w:rFonts w:hint="default" w:ascii="Arial" w:hAnsi="Arial" w:cs="Arial"/>
          <w:lang w:val="es-MX"/>
        </w:rPr>
      </w:pPr>
      <w:r>
        <w:rPr>
          <w:rFonts w:hint="default" w:ascii="Arial" w:hAnsi="Arial" w:cs="Arial"/>
          <w:b/>
          <w:bCs/>
          <w:lang w:val="es-MX"/>
        </w:rPr>
        <w:t>Cancún, Q. R., a 20 de marzo de 2026. –</w:t>
      </w:r>
      <w:r>
        <w:rPr>
          <w:rFonts w:hint="default" w:ascii="Arial" w:hAnsi="Arial" w:cs="Arial"/>
          <w:lang w:val="es-MX"/>
        </w:rPr>
        <w:t xml:space="preserve"> La Presidenta Municipal, Ana Paty Peralta, celebró que gracias a las acciones estratégicas de promoción turística, durante el primer bimestre del año el destino registró una ocupación hotelera superior al 81.8 por ciento y destacó que se prevé que esta cifra continúe en aumento con la llegada de las vacaciones de Semana Santa. </w:t>
      </w:r>
    </w:p>
    <w:p w14:paraId="7FF425B1">
      <w:pPr>
        <w:jc w:val="both"/>
        <w:rPr>
          <w:rFonts w:hint="default" w:ascii="Arial" w:hAnsi="Arial" w:cs="Arial"/>
          <w:lang w:val="es-MX"/>
        </w:rPr>
      </w:pPr>
    </w:p>
    <w:p w14:paraId="59283F4D">
      <w:pPr>
        <w:jc w:val="both"/>
        <w:rPr>
          <w:rFonts w:hint="default" w:ascii="Arial" w:hAnsi="Arial" w:cs="Arial"/>
          <w:lang w:val="es-MX"/>
        </w:rPr>
      </w:pPr>
      <w:r>
        <w:rPr>
          <w:rFonts w:hint="default" w:ascii="Arial" w:hAnsi="Arial" w:cs="Arial"/>
          <w:lang w:val="es-MX"/>
        </w:rPr>
        <w:t xml:space="preserve">“A través de los tres órdenes de gobierno continuamos fortaleciendo la diversificación del turismo, impulsando los segmentos como el educativo, salud, deporte, cultural, social, entre otros, para generar bienestar para las familias cancunenses”, resaltó. </w:t>
      </w:r>
    </w:p>
    <w:p w14:paraId="7DB17E14">
      <w:pPr>
        <w:jc w:val="both"/>
        <w:rPr>
          <w:rFonts w:hint="default" w:ascii="Arial" w:hAnsi="Arial" w:cs="Arial"/>
          <w:lang w:val="es-MX"/>
        </w:rPr>
      </w:pPr>
    </w:p>
    <w:p w14:paraId="6A108BB4">
      <w:pPr>
        <w:jc w:val="both"/>
        <w:rPr>
          <w:rFonts w:hint="default" w:ascii="Arial" w:hAnsi="Arial" w:cs="Arial"/>
          <w:lang w:val="es-MX"/>
        </w:rPr>
      </w:pPr>
      <w:r>
        <w:rPr>
          <w:rFonts w:hint="default" w:ascii="Arial" w:hAnsi="Arial" w:cs="Arial"/>
          <w:lang w:val="es-MX"/>
        </w:rPr>
        <w:t xml:space="preserve">Como reflejo de este éxito, el Aeropuerto Internacional de Cancún mantiene más de 500 operaciones aéreas diarias, entre llegadas y salidas, lo que demuestra la confianza de los visitantes al destino. Incluso el 28 de febrero se registró un incremento notable al superar las 600 actividades aeroportuarias. </w:t>
      </w:r>
    </w:p>
    <w:p w14:paraId="22912DEB">
      <w:pPr>
        <w:jc w:val="both"/>
        <w:rPr>
          <w:rFonts w:hint="default" w:ascii="Arial" w:hAnsi="Arial" w:cs="Arial"/>
          <w:lang w:val="es-MX"/>
        </w:rPr>
      </w:pPr>
    </w:p>
    <w:p w14:paraId="3DA55E1D">
      <w:pPr>
        <w:jc w:val="both"/>
        <w:rPr>
          <w:rFonts w:hint="default" w:ascii="Arial" w:hAnsi="Arial" w:cs="Arial"/>
          <w:lang w:val="es-MX"/>
        </w:rPr>
      </w:pPr>
      <w:r>
        <w:rPr>
          <w:rFonts w:hint="default" w:ascii="Arial" w:hAnsi="Arial" w:cs="Arial"/>
          <w:lang w:val="es-MX"/>
        </w:rPr>
        <w:t xml:space="preserve">En este mismo contexto, el titular de la Secretaría de Turismo, Juan Pablo de Zulueta Razo, mencionó que la realización del evento deportivo internacional HYROX, llevado a cabo del 13 al 15 de marzo en el Malecón Tajamar, también contribuyó a fortalecer la actividad turística al señalar que el evento reunió a más de 10 mil 200 atletas provenientes de 16 países, quienes viajaron acompañados de al menos dos personas, por lo que se superó las expectativas de más de 35 mil visitantes en el destino y una derrama económica superior a 266 millones de pesos. </w:t>
      </w:r>
    </w:p>
    <w:p w14:paraId="5F9D159B">
      <w:pPr>
        <w:jc w:val="both"/>
        <w:rPr>
          <w:rFonts w:hint="default" w:ascii="Arial" w:hAnsi="Arial" w:cs="Arial"/>
          <w:lang w:val="es-MX"/>
        </w:rPr>
      </w:pPr>
    </w:p>
    <w:p w14:paraId="33404AEA">
      <w:pPr>
        <w:jc w:val="both"/>
        <w:rPr>
          <w:rFonts w:hint="default" w:ascii="Arial" w:hAnsi="Arial" w:cs="Arial"/>
          <w:lang w:val="es-MX"/>
        </w:rPr>
      </w:pPr>
      <w:r>
        <w:rPr>
          <w:rFonts w:hint="default" w:ascii="Arial" w:hAnsi="Arial" w:cs="Arial"/>
          <w:lang w:val="es-MX"/>
        </w:rPr>
        <w:t xml:space="preserve">Asimismo, destacó que del 16 al 22 de marzo se llevará a cabo el “Premier Pádel Cancún P2”, un torneo que reune a los mejores exponentes de esta disciplina y que reafirma a Cancún como un destino clave para la realización de eventos deportivos de talla internacional. </w:t>
      </w:r>
    </w:p>
    <w:p w14:paraId="6F211A09">
      <w:pPr>
        <w:jc w:val="both"/>
        <w:rPr>
          <w:rFonts w:hint="default" w:ascii="Arial" w:hAnsi="Arial" w:cs="Arial"/>
          <w:lang w:val="es-MX"/>
        </w:rPr>
      </w:pPr>
    </w:p>
    <w:p w14:paraId="2A239FE6">
      <w:pPr>
        <w:jc w:val="both"/>
        <w:rPr>
          <w:rFonts w:hint="default" w:ascii="Arial" w:hAnsi="Arial" w:cs="Arial"/>
          <w:lang w:val="es-MX"/>
        </w:rPr>
      </w:pPr>
      <w:r>
        <w:rPr>
          <w:rFonts w:hint="default" w:ascii="Arial" w:hAnsi="Arial" w:cs="Arial"/>
          <w:lang w:val="es-MX"/>
        </w:rPr>
        <w:t>Por último, invitó a visitar la página allyoucancun.com, donde se puede encontrar una cartelera detallada de las próximas actividades y eventos que se llevarán a cabo en la entidad, así como información valiosa sobre los consulados y otros recursos útiles para planificar su estancia o resolver cualquier inquietud.</w:t>
      </w:r>
    </w:p>
    <w:p w14:paraId="3E27BD6D">
      <w:pPr>
        <w:jc w:val="both"/>
        <w:rPr>
          <w:rFonts w:hint="default" w:ascii="Arial" w:hAnsi="Arial" w:cs="Arial"/>
          <w:lang w:val="es-MX"/>
        </w:rPr>
      </w:pPr>
    </w:p>
    <w:p w14:paraId="1095C79F">
      <w:pPr>
        <w:jc w:val="both"/>
        <w:rPr>
          <w:rFonts w:hint="default" w:ascii="Arial" w:hAnsi="Arial" w:cs="Arial"/>
          <w:lang w:val="es-MX"/>
        </w:rPr>
      </w:pPr>
      <w:r>
        <w:rPr>
          <w:rFonts w:hint="default" w:ascii="Arial" w:hAnsi="Arial" w:cs="Arial"/>
          <w:lang w:val="es-MX"/>
        </w:rPr>
        <w:t>************</w:t>
      </w:r>
    </w:p>
    <w:p w14:paraId="7CABAEBB">
      <w:pPr>
        <w:jc w:val="center"/>
        <w:rPr>
          <w:rFonts w:hint="default" w:ascii="Arial" w:hAnsi="Arial" w:cs="Arial"/>
          <w:b/>
          <w:bCs/>
          <w:lang w:val="es-MX"/>
        </w:rPr>
      </w:pPr>
      <w:r>
        <w:rPr>
          <w:rFonts w:hint="default" w:ascii="Arial" w:hAnsi="Arial" w:cs="Arial"/>
          <w:b/>
          <w:bCs/>
          <w:lang w:val="es-MX"/>
        </w:rPr>
        <w:t>COMPLEMENTO INFORMATIVO</w:t>
      </w:r>
    </w:p>
    <w:p w14:paraId="2B4B50F8">
      <w:pPr>
        <w:jc w:val="both"/>
        <w:rPr>
          <w:rFonts w:hint="default" w:ascii="Arial" w:hAnsi="Arial" w:cs="Arial"/>
          <w:lang w:val="es-MX"/>
        </w:rPr>
      </w:pPr>
      <w:r>
        <w:rPr>
          <w:rFonts w:hint="default" w:ascii="Arial" w:hAnsi="Arial" w:cs="Arial"/>
          <w:lang w:val="es-MX"/>
        </w:rPr>
        <w:t xml:space="preserve"> </w:t>
      </w:r>
    </w:p>
    <w:p w14:paraId="7BDEB21C">
      <w:pPr>
        <w:jc w:val="both"/>
        <w:rPr>
          <w:rFonts w:hint="default" w:ascii="Arial" w:hAnsi="Arial" w:cs="Arial"/>
          <w:b/>
          <w:bCs/>
          <w:lang w:val="es-MX"/>
        </w:rPr>
      </w:pPr>
      <w:r>
        <w:rPr>
          <w:rFonts w:hint="default" w:ascii="Arial" w:hAnsi="Arial" w:cs="Arial"/>
          <w:b/>
          <w:bCs/>
          <w:lang w:val="es-MX"/>
        </w:rPr>
        <w:t>NUMERALIAS:</w:t>
      </w:r>
    </w:p>
    <w:p w14:paraId="30D8F699">
      <w:pPr>
        <w:jc w:val="both"/>
        <w:rPr>
          <w:rFonts w:hint="default" w:ascii="Arial" w:hAnsi="Arial" w:cs="Arial"/>
          <w:lang w:val="es-MX"/>
        </w:rPr>
      </w:pPr>
      <w:r>
        <w:rPr>
          <w:rFonts w:hint="default" w:ascii="Arial" w:hAnsi="Arial" w:cs="Arial"/>
          <w:lang w:val="es-MX"/>
        </w:rPr>
        <w:t xml:space="preserve"> </w:t>
      </w:r>
    </w:p>
    <w:p w14:paraId="4C9105F4">
      <w:pPr>
        <w:jc w:val="both"/>
        <w:rPr>
          <w:rFonts w:hint="default" w:ascii="Arial" w:hAnsi="Arial" w:cs="Arial"/>
          <w:lang w:val="es-MX"/>
        </w:rPr>
      </w:pPr>
      <w:r>
        <w:rPr>
          <w:rFonts w:hint="default" w:ascii="Arial" w:hAnsi="Arial" w:cs="Arial"/>
          <w:lang w:val="es-MX"/>
        </w:rPr>
        <w:t>Ocupación hotelera 2026:</w:t>
      </w:r>
    </w:p>
    <w:p w14:paraId="60A462AD">
      <w:pPr>
        <w:jc w:val="both"/>
        <w:rPr>
          <w:rFonts w:hint="default" w:ascii="Arial" w:hAnsi="Arial" w:cs="Arial"/>
          <w:lang w:val="es-MX"/>
        </w:rPr>
      </w:pPr>
    </w:p>
    <w:p w14:paraId="01CC2052">
      <w:pPr>
        <w:jc w:val="both"/>
        <w:rPr>
          <w:rFonts w:hint="default" w:ascii="Arial" w:hAnsi="Arial" w:cs="Arial"/>
          <w:lang w:val="es-MX"/>
        </w:rPr>
      </w:pPr>
      <w:r>
        <w:rPr>
          <w:rFonts w:hint="default" w:ascii="Arial" w:hAnsi="Arial" w:cs="Arial"/>
          <w:lang w:val="es-MX"/>
        </w:rPr>
        <w:t>•</w:t>
      </w:r>
      <w:r>
        <w:rPr>
          <w:rFonts w:hint="default" w:ascii="Arial" w:hAnsi="Arial" w:cs="Arial"/>
          <w:lang w:val="es-MX"/>
        </w:rPr>
        <w:tab/>
      </w:r>
      <w:r>
        <w:rPr>
          <w:rFonts w:hint="default" w:ascii="Arial" w:hAnsi="Arial" w:cs="Arial"/>
          <w:lang w:val="es-MX"/>
        </w:rPr>
        <w:t>Enero 81.8 %</w:t>
      </w:r>
    </w:p>
    <w:p w14:paraId="6B466BBA">
      <w:pPr>
        <w:jc w:val="both"/>
        <w:rPr>
          <w:rFonts w:hint="default" w:ascii="Arial" w:hAnsi="Arial" w:cs="Arial"/>
          <w:lang w:val="es-MX"/>
        </w:rPr>
      </w:pPr>
      <w:r>
        <w:rPr>
          <w:rFonts w:hint="default" w:ascii="Arial" w:hAnsi="Arial" w:cs="Arial"/>
          <w:lang w:val="es-MX"/>
        </w:rPr>
        <w:t>•</w:t>
      </w:r>
      <w:r>
        <w:rPr>
          <w:rFonts w:hint="default" w:ascii="Arial" w:hAnsi="Arial" w:cs="Arial"/>
          <w:lang w:val="es-MX"/>
        </w:rPr>
        <w:tab/>
      </w:r>
      <w:r>
        <w:rPr>
          <w:rFonts w:hint="default" w:ascii="Arial" w:hAnsi="Arial" w:cs="Arial"/>
          <w:lang w:val="es-MX"/>
        </w:rPr>
        <w:t xml:space="preserve">Febrero </w:t>
      </w:r>
      <w:bookmarkStart w:id="0" w:name="_GoBack"/>
      <w:bookmarkEnd w:id="0"/>
      <w:r>
        <w:rPr>
          <w:rFonts w:hint="default" w:ascii="Arial" w:hAnsi="Arial" w:cs="Arial"/>
          <w:lang w:val="es-MX"/>
        </w:rPr>
        <w:t>83.8 %</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Pr>
                              <w:rFonts w:hint="default" w:cstheme="minorHAnsi"/>
                              <w:b/>
                              <w:bCs/>
                              <w:lang w:val="es-MX"/>
                            </w:rPr>
                            <w:t>2095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Pr>
                        <w:rFonts w:hint="default" w:cstheme="minorHAnsi"/>
                        <w:b/>
                        <w:bCs/>
                        <w:lang w:val="es-MX"/>
                      </w:rPr>
                      <w:t>2095</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01426C0F"/>
    <w:rsid w:val="3AB1133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qFormat/>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2</Pages>
  <Words>260</Words>
  <Characters>1482</Characters>
  <Lines>12</Lines>
  <Paragraphs>3</Paragraphs>
  <TotalTime>6</TotalTime>
  <ScaleCrop>false</ScaleCrop>
  <LinksUpToDate>false</LinksUpToDate>
  <CharactersWithSpaces>1739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2025-12-23T17:49:00Z</dcterms:created>
  <dc:creator>Heyder Manrique</dc:creator>
  <cp:lastModifiedBy>Propietario</cp:lastModifiedBy>
  <dcterms:modified xsi:type="dcterms:W3CDTF">2026-03-21T00:19:49Z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4BB773D0C0554FBBAC803FCE9BA32CA7_13</vt:lpwstr>
  </property>
</Properties>
</file>